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shd w:fill="ffd966" w:val="clear"/>
          <w:rtl w:val="0"/>
        </w:rPr>
        <w:t xml:space="preserve">  4  </w:t>
      </w:r>
      <w:r w:rsidDel="00000000" w:rsidR="00000000" w:rsidRPr="00000000">
        <w:rPr>
          <w:sz w:val="36"/>
          <w:szCs w:val="36"/>
          <w:rtl w:val="0"/>
        </w:rPr>
        <w:t xml:space="preserve"> Le fonctionnement cognitif général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8867775</wp:posOffset>
            </wp:positionH>
            <wp:positionV relativeFrom="paragraph">
              <wp:posOffset>142875</wp:posOffset>
            </wp:positionV>
            <wp:extent cx="492487" cy="70084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87" cy="700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Quelques pistes d’observations non exhaustives à compléter au besoin dans ce domaine afin d’affiner l’identification des besoins éducatifs.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23.27198368600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6555"/>
        <w:gridCol w:w="2841.090661228669"/>
        <w:gridCol w:w="2841.090661228669"/>
        <w:gridCol w:w="2841.090661228669"/>
        <w:tblGridChange w:id="0">
          <w:tblGrid>
            <w:gridCol w:w="645"/>
            <w:gridCol w:w="6555"/>
            <w:gridCol w:w="2841.090661228669"/>
            <w:gridCol w:w="2841.090661228669"/>
            <w:gridCol w:w="2841.090661228669"/>
          </w:tblGrid>
        </w:tblGridChange>
      </w:tblGrid>
      <w:tr>
        <w:trPr>
          <w:trHeight w:val="420" w:hRule="atLeast"/>
        </w:trPr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Observables</w:t>
            </w:r>
          </w:p>
        </w:tc>
        <w:tc>
          <w:tcPr>
            <w:gridSpan w:val="2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Observations/remarques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Points d’appui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Obstacles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Hypothèses de besoins</w:t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sa mémoire de travail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se souvient des données (3 données + ou - 2), apprises dans les 2-3 min.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sa mémoire à long terme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est capable d'apprendre un texte ou autre en lien avec son âge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une stratégie de mémorisation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possède des stratégies de mémorisation.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un mode communication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verbale, gestuelle, expressive.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un langage spécifique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LSF, Coghamo, Makaton...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entrer en communication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qualité de la communication: aisée, réduite, unilatérale, cherche ou pas la communication, communication unique avec certaines personnes...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maintenir une attention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pendant la durée de l'activité.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maintenir une attention lors de différentes activités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est attentif uniquement pendant les activités qui le motivent, pour différents types d’activités, ne maintient pas d’attention...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maintenir son attention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concentre et ne se disperse pas facilement.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maintenir une posture adaptée à l'attention et à la concentration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rester assis, ne passe retourner, ne pas se laisser perturber par les déplacements des autres..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exécuter une tâche cognitive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rapide, lente, a besoin d’un temps de latence...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4-4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des repères temporels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comprend et utilise les marqueurs temporels (calendriers, emplois du temps, horloge...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la chronologie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place des événements chronologiquement.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des connecteurs temporels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compréhension (et utilisation] des connecteurs temporels.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des repères spatiaux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se positionne dans l'espace de la classe ou de l'école, ou de l'établissement, ou de la ville ... situe les objets les uns par rapport aux autres.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connaître et utiliser  le vocabulaire lié à l'espace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(devant, au-dessus…), reconnaît des formes géométriques simples.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Déplacement : suit des itinéraires mémorisés (dans l'école, l'établissement, la ville…) (Topologie).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des outils d'aide aux déplacements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carte, plan, GPS, application spécifique... Code et décode un espace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23091" cy="42624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091" cy="426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