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93c47d" w:val="clear"/>
          <w:rtl w:val="0"/>
        </w:rPr>
        <w:t xml:space="preserve">  3  </w:t>
      </w:r>
      <w:r w:rsidDel="00000000" w:rsidR="00000000" w:rsidRPr="00000000">
        <w:rPr>
          <w:sz w:val="36"/>
          <w:szCs w:val="36"/>
          <w:rtl w:val="0"/>
        </w:rPr>
        <w:t xml:space="preserve"> Le fonctionnement socio-affectif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8829675</wp:posOffset>
            </wp:positionH>
            <wp:positionV relativeFrom="paragraph">
              <wp:posOffset>114300</wp:posOffset>
            </wp:positionV>
            <wp:extent cx="571366" cy="807604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366" cy="8076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6600"/>
        <w:gridCol w:w="2841.090661228669"/>
        <w:gridCol w:w="2841.090661228669"/>
        <w:gridCol w:w="2841.090661228669"/>
        <w:tblGridChange w:id="0">
          <w:tblGrid>
            <w:gridCol w:w="600"/>
            <w:gridCol w:w="6600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respecter le règlement (rapport à la loi):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coups, vo!, destruction d'objets,</w:t>
              <w:tab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mensonges et moqueries...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respecter les règles explicites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lever la main. attendre son tour, garder le silence si</w:t>
              <w:tab/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demandé, jouer à  des jeux à règles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respecter le travail des autres 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déplacer en silence, adapter la hauteur de sa voix, bavardages, gestes perturbateurs...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s'adapter aux changements de référent ou de lieu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  <w:t xml:space="preserve">respecter les règlements de l'école ou des lieux extérieurs, les règles des déplacements, adopter un comportement identique quel que soit l'adulte référent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entrer en relation avec les adultes de la classe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accepter la proximité physique,solliciter l'adulte, lui répondre, utiliser et comprendre la parole les gestes, les regards</w:t>
              <w:tab/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le reconnaître comme figure d'autorité, ne cherche aucunement l’attention, s’oppose selon l’humeur, cherche à attirer l’attention par des conduites inappropriées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repérer les personnes et leurs fonctions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(autres adultes que ceux de la classe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): savoir qui fait quoi...</w:t>
              <w:tab/>
              <w:tab/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Capacité à entrer en relation: solliciter l'adulte, lui répondre, le reconnaître comme figure d'autorité,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s'adapter à des fonctionnements différents...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se détacher des adultes de la classe: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prendre des initiatives, accepter qu'on puisse s'intéresser à quelqu'un d'autre…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Adopte des attitudes révélant une quête affective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entrer en relation avec les autres élèves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  <w:tab/>
              <w:t xml:space="preserve">accepter leur proximité physique, échanger, regarder, écouter, jouer, s'isoler.., nature des comportements (agression, soumission, domination, rejet par les autres relations exclusives...), empathique...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accepter le conflit socio-cognitif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avoir envie de comparer sa réponse à celle d’autrui, pouvoir accepter l’existence d’un point de vue différent du sien, théorie de l’esprit, décentration, pouvoir accepter la contradiction de ses pairs...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le point de vue d’autrui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 prendre en compte un point de vue différent du sien, pouvoir adopter le point de vue d’autrui, pouvoir faire évoluer ses représentations, essayer d’imiter autrui...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régler les conflits:</w:t>
              <w:tab/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reconnaître ses erreurs, accepter les</w:t>
              <w:tab/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conséquences, communication non</w:t>
              <w:tab/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violente (dessin, parole..)...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accepter facilement les contraintes, 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accepter et comprendre les sanctions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3091" cy="4262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091" cy="42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