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36"/>
          <w:szCs w:val="36"/>
        </w:rPr>
      </w:pPr>
      <w:r w:rsidDel="00000000" w:rsidR="00000000" w:rsidRPr="00000000">
        <w:rPr>
          <w:b w:val="1"/>
          <w:color w:val="ffffff"/>
          <w:sz w:val="36"/>
          <w:szCs w:val="36"/>
          <w:shd w:fill="b4a7d6" w:val="clear"/>
          <w:rtl w:val="0"/>
        </w:rPr>
        <w:t xml:space="preserve">  1  </w:t>
      </w:r>
      <w:r w:rsidDel="00000000" w:rsidR="00000000" w:rsidRPr="00000000">
        <w:rPr>
          <w:sz w:val="36"/>
          <w:szCs w:val="36"/>
          <w:rtl w:val="0"/>
        </w:rPr>
        <w:t xml:space="preserve"> Le fonctionnement sensori-moteur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9144000</wp:posOffset>
            </wp:positionH>
            <wp:positionV relativeFrom="paragraph">
              <wp:posOffset>114300</wp:posOffset>
            </wp:positionV>
            <wp:extent cx="594508" cy="847725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508" cy="847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Quelques pistes d’observations non exhaustives à compléter au besoin dans ce domaine afin d’affiner l’identification des besoins éducatifs. (Partie coordination motrice globale et motricité fine)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723.271983686009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5"/>
        <w:gridCol w:w="6495"/>
        <w:gridCol w:w="2841.090661228669"/>
        <w:gridCol w:w="2841.090661228669"/>
        <w:gridCol w:w="2841.090661228669"/>
        <w:tblGridChange w:id="0">
          <w:tblGrid>
            <w:gridCol w:w="705"/>
            <w:gridCol w:w="6495"/>
            <w:gridCol w:w="2841.090661228669"/>
            <w:gridCol w:w="2841.090661228669"/>
            <w:gridCol w:w="2841.090661228669"/>
          </w:tblGrid>
        </w:tblGridChange>
      </w:tblGrid>
      <w:tr>
        <w:trPr>
          <w:trHeight w:val="420" w:hRule="atLeast"/>
        </w:trPr>
        <w:tc>
          <w:tcPr>
            <w:vMerge w:val="restart"/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Observables</w:t>
            </w:r>
          </w:p>
        </w:tc>
        <w:tc>
          <w:tcPr>
            <w:gridSpan w:val="2"/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Observations/remarques</w:t>
            </w:r>
          </w:p>
        </w:tc>
        <w:tc>
          <w:tcPr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Points d’appui</w:t>
            </w:r>
          </w:p>
        </w:tc>
        <w:tc>
          <w:tcPr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Obstacles</w:t>
            </w:r>
          </w:p>
        </w:tc>
        <w:tc>
          <w:tcPr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Hypothèses de besoins</w:t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faire seul les gestes de la vie quotidienne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mettre et fermer son manteau, s'habiller après la piscine,faire ses lacets, couper ses aliments,manger seul, se servir dans le self...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effectuer des gestes rapides et coordonnés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coordonner vision et geste, connaître le schéma corporel, la gauche et la droite, tenir en équilibre, enchaîner des actions...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manipuler les objets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ne pas faire tomber les objets, adapter ses gestes au contexte...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1-2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mobiliser la motricité fine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Enfile des perles, plie du papier, réalise des encastrements,...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Graphisme: Capacité à gérer l'espace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graphique : latéralité, régularité de la hauteur, régularité des espaces, horizontalité.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Graphisme: Capacité à gérer le geste 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mobilité des bras, des poignets, des doigts, position des doigts sur l'outil...</w:t>
              <w:tab/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Capacité à reproduire des modèles: unités minimales (boucles, ponts)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Graphisme: Capacité à utiliser un outil scripteur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tenue du crayon, variété des outils, crispation, fluidité, suivi du lignage, tracés des lettres, cursif/capitale..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Coloriage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respecter un cadre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colorier sans dépasser, sans percer la feuille, utiliser les couleurs...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utiliser les outils usuels: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découper, coller, couper au couteau, tenir un verre...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ind w:left="0" w:firstLine="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manipuler les objets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ne pas faire tomber les objets, adapter ses gestes au contexte...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produire des sons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utiliser certains mots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articuler/prononcer correctement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 manière à se faire comprendre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moduler sa vitesse d’élocution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1-4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percevoir: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peut répéter une phrase dite à voix normale prononcée dans son dos à une distance de 2 m et peut isoler un son dans un brouhaha.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percevoir: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identifie deux ou plusieurs sons successifs.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repérer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deux signes ordinairement distinctifs à 5 m.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percevoir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les contrastes, ou les couleurs.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Capacité à voir correctement.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Dans le cas contraire, s’’approche très près du support, se penche sur sa feuille ou la porte à ses yeux, ne voit pas à une certaine distance, se frotte les yeux, cligne des yeux, penche la tête et ferme un oeil, se plaint de maux de tête, a les yeux qui piquent, visibilité de larmoiement...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1-6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Capacité à oser prendre des risques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: avoir conscience de la notion de danger, ajuster ses mouvements au contexte.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b w:val="1"/>
                <w:color w:val="ff0000"/>
                <w:sz w:val="20"/>
                <w:szCs w:val="20"/>
                <w:rtl w:val="0"/>
              </w:rPr>
              <w:t xml:space="preserve">Capacité à prendre soin de soi-même</w:t>
            </w: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 : se laver les mains, se moucher, aller aux toilettes, ne pas se salir..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1906" w:w="16838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23091" cy="42624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091" cy="42624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